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4A" w:rsidRPr="009378DF" w:rsidRDefault="00B3794A" w:rsidP="00B3794A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7</w:t>
      </w:r>
    </w:p>
    <w:p w:rsidR="00B379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18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B3794A" w:rsidRPr="00EE77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B3794A" w:rsidRPr="00EE774A" w:rsidRDefault="00B3794A" w:rsidP="00B3794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A1700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EA6E61">
        <w:rPr>
          <w:rFonts w:ascii="宋体" w:hAnsi="宋体" w:hint="eastAsia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月</w:t>
      </w:r>
      <w:r w:rsidR="00EA6E61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B3794A" w:rsidRPr="000A55B8" w:rsidRDefault="00667645" w:rsidP="006F20D6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9F0B24" w:rsidRPr="009F0B24">
        <w:rPr>
          <w:rFonts w:ascii="宋体" w:hAnsi="宋体" w:hint="eastAsia"/>
          <w:color w:val="000000"/>
          <w:sz w:val="28"/>
          <w:szCs w:val="28"/>
        </w:rPr>
        <w:t>1,915,361,000.00</w:t>
      </w:r>
      <w:r w:rsidR="000A7F12">
        <w:rPr>
          <w:rFonts w:ascii="宋体" w:hAnsi="宋体" w:hint="eastAsia"/>
          <w:color w:val="000000"/>
          <w:sz w:val="28"/>
          <w:szCs w:val="28"/>
        </w:rPr>
        <w:t>元。</w:t>
      </w:r>
    </w:p>
    <w:p w:rsidR="00B3794A" w:rsidRPr="00EE774A" w:rsidRDefault="00B3794A" w:rsidP="00B3794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9F0B24" w:rsidRPr="009F0B24" w:rsidRDefault="009F0B24" w:rsidP="009F0B24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F0B24">
        <w:rPr>
          <w:rFonts w:ascii="宋体" w:hAnsi="宋体" w:hint="eastAsia"/>
          <w:color w:val="000000"/>
          <w:sz w:val="28"/>
          <w:szCs w:val="28"/>
        </w:rPr>
        <w:t>中国建设银行于2018年10月25日（含）起，调整“乾元—满溢”180天开放式资产组合型人民币理财产品客户</w:t>
      </w:r>
      <w:proofErr w:type="gramStart"/>
      <w:r w:rsidRPr="009F0B24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9F0B24">
        <w:rPr>
          <w:rFonts w:ascii="宋体" w:hAnsi="宋体" w:hint="eastAsia"/>
          <w:color w:val="000000"/>
          <w:sz w:val="28"/>
          <w:szCs w:val="28"/>
        </w:rPr>
        <w:t>，具体如下表：</w:t>
      </w:r>
    </w:p>
    <w:p w:rsidR="009F0B24" w:rsidRPr="009F0B24" w:rsidRDefault="009F0B24" w:rsidP="009F0B24">
      <w:pPr>
        <w:adjustRightInd w:val="0"/>
        <w:snapToGrid w:val="0"/>
        <w:spacing w:line="2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tbl>
      <w:tblPr>
        <w:tblW w:w="3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9F0B24" w:rsidRPr="009F0B24" w:rsidTr="009F0B24">
        <w:trPr>
          <w:trHeight w:val="20"/>
          <w:tblHeader/>
          <w:jc w:val="center"/>
        </w:trPr>
        <w:tc>
          <w:tcPr>
            <w:tcW w:w="2610" w:type="dxa"/>
            <w:vAlign w:val="center"/>
            <w:hideMark/>
          </w:tcPr>
          <w:p w:rsidR="009F0B24" w:rsidRPr="009F0B24" w:rsidRDefault="009F0B24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F0B24">
              <w:rPr>
                <w:rFonts w:ascii="宋体" w:hAnsi="宋体" w:hint="eastAsia"/>
                <w:color w:val="000000"/>
                <w:sz w:val="22"/>
                <w:szCs w:val="28"/>
              </w:rPr>
              <w:t>产品名称</w:t>
            </w:r>
          </w:p>
        </w:tc>
        <w:tc>
          <w:tcPr>
            <w:tcW w:w="1723" w:type="dxa"/>
            <w:vAlign w:val="center"/>
            <w:hideMark/>
          </w:tcPr>
          <w:p w:rsidR="009F0B24" w:rsidRPr="009F0B24" w:rsidRDefault="009F0B24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F0B24">
              <w:rPr>
                <w:rFonts w:ascii="宋体" w:hAnsi="宋体" w:hint="eastAsia"/>
                <w:color w:val="000000"/>
                <w:sz w:val="22"/>
                <w:szCs w:val="28"/>
              </w:rPr>
              <w:t>客户</w:t>
            </w:r>
            <w:proofErr w:type="gramStart"/>
            <w:r w:rsidRPr="009F0B24">
              <w:rPr>
                <w:rFonts w:ascii="宋体" w:hAnsi="宋体" w:hint="eastAsia"/>
                <w:color w:val="000000"/>
                <w:sz w:val="22"/>
                <w:szCs w:val="28"/>
              </w:rPr>
              <w:t>预期年化收益率</w:t>
            </w:r>
            <w:proofErr w:type="gramEnd"/>
          </w:p>
          <w:p w:rsidR="009F0B24" w:rsidRPr="009F0B24" w:rsidRDefault="009F0B24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F0B24">
              <w:rPr>
                <w:rFonts w:ascii="宋体" w:hAnsi="宋体" w:hint="eastAsia"/>
                <w:color w:val="000000"/>
                <w:sz w:val="22"/>
                <w:szCs w:val="28"/>
              </w:rPr>
              <w:t>（调整前）</w:t>
            </w:r>
          </w:p>
        </w:tc>
        <w:tc>
          <w:tcPr>
            <w:tcW w:w="1701" w:type="dxa"/>
            <w:hideMark/>
          </w:tcPr>
          <w:p w:rsidR="009F0B24" w:rsidRPr="009F0B24" w:rsidRDefault="009F0B24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F0B24">
              <w:rPr>
                <w:rFonts w:ascii="宋体" w:hAnsi="宋体" w:hint="eastAsia"/>
                <w:color w:val="000000"/>
                <w:sz w:val="22"/>
                <w:szCs w:val="28"/>
              </w:rPr>
              <w:t>客户</w:t>
            </w:r>
            <w:proofErr w:type="gramStart"/>
            <w:r w:rsidRPr="009F0B24">
              <w:rPr>
                <w:rFonts w:ascii="宋体" w:hAnsi="宋体" w:hint="eastAsia"/>
                <w:color w:val="000000"/>
                <w:sz w:val="22"/>
                <w:szCs w:val="28"/>
              </w:rPr>
              <w:t>预期年化收益率</w:t>
            </w:r>
            <w:proofErr w:type="gramEnd"/>
          </w:p>
          <w:p w:rsidR="009F0B24" w:rsidRPr="009F0B24" w:rsidRDefault="009F0B24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F0B24">
              <w:rPr>
                <w:rFonts w:ascii="宋体" w:hAnsi="宋体" w:hint="eastAsia"/>
                <w:color w:val="000000"/>
                <w:sz w:val="22"/>
                <w:szCs w:val="28"/>
              </w:rPr>
              <w:t>（调整后）</w:t>
            </w:r>
          </w:p>
        </w:tc>
      </w:tr>
      <w:tr w:rsidR="009F0B24" w:rsidRPr="009F0B24" w:rsidTr="009F0B24">
        <w:trPr>
          <w:trHeight w:val="608"/>
          <w:jc w:val="center"/>
        </w:trPr>
        <w:tc>
          <w:tcPr>
            <w:tcW w:w="2610" w:type="dxa"/>
            <w:vAlign w:val="center"/>
            <w:hideMark/>
          </w:tcPr>
          <w:p w:rsidR="009F0B24" w:rsidRPr="009F0B24" w:rsidRDefault="009F0B24" w:rsidP="00BA72EF">
            <w:pPr>
              <w:jc w:val="left"/>
              <w:rPr>
                <w:rFonts w:ascii="宋体" w:hAnsi="宋体"/>
                <w:color w:val="000000"/>
                <w:sz w:val="22"/>
                <w:szCs w:val="28"/>
              </w:rPr>
            </w:pPr>
            <w:r w:rsidRPr="009F0B24">
              <w:rPr>
                <w:rFonts w:ascii="宋体" w:hAnsi="宋体" w:hint="eastAsia"/>
                <w:color w:val="000000"/>
                <w:sz w:val="22"/>
                <w:szCs w:val="28"/>
              </w:rPr>
              <w:t>“乾元—满溢”180天</w:t>
            </w:r>
          </w:p>
        </w:tc>
        <w:tc>
          <w:tcPr>
            <w:tcW w:w="1723" w:type="dxa"/>
            <w:vAlign w:val="center"/>
            <w:hideMark/>
          </w:tcPr>
          <w:p w:rsidR="009F0B24" w:rsidRPr="009F0B24" w:rsidRDefault="009F0B24" w:rsidP="00BA72EF">
            <w:pPr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F0B24">
              <w:rPr>
                <w:rFonts w:ascii="宋体" w:hAnsi="宋体" w:hint="eastAsia"/>
                <w:color w:val="000000"/>
                <w:sz w:val="22"/>
                <w:szCs w:val="28"/>
              </w:rPr>
              <w:t>4.40%</w:t>
            </w:r>
          </w:p>
        </w:tc>
        <w:tc>
          <w:tcPr>
            <w:tcW w:w="1701" w:type="dxa"/>
            <w:vAlign w:val="center"/>
            <w:hideMark/>
          </w:tcPr>
          <w:p w:rsidR="009F0B24" w:rsidRPr="009F0B24" w:rsidRDefault="009F0B24" w:rsidP="00BA72EF">
            <w:pPr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F0B24">
              <w:rPr>
                <w:rFonts w:ascii="宋体" w:hAnsi="宋体" w:hint="eastAsia"/>
                <w:color w:val="000000"/>
                <w:sz w:val="22"/>
                <w:szCs w:val="28"/>
              </w:rPr>
              <w:t>4.05%</w:t>
            </w:r>
          </w:p>
        </w:tc>
      </w:tr>
    </w:tbl>
    <w:p w:rsidR="009F0B24" w:rsidRPr="009F0B24" w:rsidRDefault="009F0B24" w:rsidP="009F0B24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F0B24">
        <w:rPr>
          <w:rFonts w:ascii="宋体" w:hAnsi="宋体" w:hint="eastAsia"/>
          <w:color w:val="000000"/>
          <w:sz w:val="28"/>
          <w:szCs w:val="28"/>
        </w:rPr>
        <w:t>新客户</w:t>
      </w:r>
      <w:proofErr w:type="gramStart"/>
      <w:r w:rsidRPr="009F0B24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9F0B24">
        <w:rPr>
          <w:rFonts w:ascii="宋体" w:hAnsi="宋体" w:hint="eastAsia"/>
          <w:color w:val="000000"/>
          <w:sz w:val="28"/>
          <w:szCs w:val="28"/>
        </w:rPr>
        <w:t>于2018年10月25日（含）起执行。对于2018年10月25日（不含）前已经购买成功且未赎回的存量投资本金，其中封闭期内的份额仍按照购买确认日当日的客户</w:t>
      </w:r>
      <w:proofErr w:type="gramStart"/>
      <w:r w:rsidRPr="009F0B24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9F0B24">
        <w:rPr>
          <w:rFonts w:ascii="宋体" w:hAnsi="宋体" w:hint="eastAsia"/>
          <w:color w:val="000000"/>
          <w:sz w:val="28"/>
          <w:szCs w:val="28"/>
        </w:rPr>
        <w:t>计算投资收益，非封闭期内的份额从2018年10月25日（含）起按调整后的</w:t>
      </w:r>
      <w:proofErr w:type="gramStart"/>
      <w:r w:rsidRPr="009F0B24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9F0B24">
        <w:rPr>
          <w:rFonts w:ascii="宋体" w:hAnsi="宋体" w:hint="eastAsia"/>
          <w:color w:val="000000"/>
          <w:sz w:val="28"/>
          <w:szCs w:val="28"/>
        </w:rPr>
        <w:t>计算投资收益。2018年10月25日（含）后购买的部分自动执行调整后的客户</w:t>
      </w:r>
      <w:proofErr w:type="gramStart"/>
      <w:r w:rsidRPr="009F0B24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9F0B24">
        <w:rPr>
          <w:rFonts w:ascii="宋体" w:hAnsi="宋体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9F0B24">
        <w:rPr>
          <w:rFonts w:ascii="宋体" w:hAnsi="宋体" w:hint="eastAsia"/>
          <w:color w:val="000000"/>
          <w:sz w:val="28"/>
          <w:szCs w:val="28"/>
        </w:rPr>
        <w:t>行最终</w:t>
      </w:r>
      <w:proofErr w:type="gramEnd"/>
      <w:r w:rsidRPr="009F0B24">
        <w:rPr>
          <w:rFonts w:ascii="宋体" w:hAnsi="宋体" w:hint="eastAsia"/>
          <w:color w:val="000000"/>
          <w:sz w:val="28"/>
          <w:szCs w:val="28"/>
        </w:rPr>
        <w:t>支付的</w:t>
      </w:r>
      <w:proofErr w:type="gramStart"/>
      <w:r w:rsidRPr="009F0B24">
        <w:rPr>
          <w:rFonts w:ascii="宋体" w:hAnsi="宋体" w:hint="eastAsia"/>
          <w:color w:val="000000"/>
          <w:sz w:val="28"/>
          <w:szCs w:val="28"/>
        </w:rPr>
        <w:t>实际年化收益率</w:t>
      </w:r>
      <w:proofErr w:type="gramEnd"/>
      <w:r w:rsidRPr="009F0B24">
        <w:rPr>
          <w:rFonts w:ascii="宋体" w:hAnsi="宋体" w:hint="eastAsia"/>
          <w:color w:val="000000"/>
          <w:sz w:val="28"/>
          <w:szCs w:val="28"/>
        </w:rPr>
        <w:t>为准。</w:t>
      </w:r>
    </w:p>
    <w:p w:rsidR="006F20D6" w:rsidRPr="00AA7A73" w:rsidRDefault="006F20D6" w:rsidP="006F20D6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（一）投资组合的基本情况</w:t>
      </w:r>
    </w:p>
    <w:p w:rsidR="00B3794A" w:rsidRPr="00EE774A" w:rsidRDefault="00757614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553DB8A" wp14:editId="407C7743">
            <wp:extent cx="3343275" cy="1552575"/>
            <wp:effectExtent l="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B3794A" w:rsidRPr="00EE774A" w:rsidRDefault="00757614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BDAC2F6" wp14:editId="3D7556F7">
            <wp:extent cx="3705225" cy="1857375"/>
            <wp:effectExtent l="0" t="0" r="9525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7F5088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7F5088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B3794A" w:rsidRPr="005622F6" w:rsidRDefault="00757614" w:rsidP="00B3794A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055304B" wp14:editId="06BBBE2C">
            <wp:extent cx="5274310" cy="1695227"/>
            <wp:effectExtent l="0" t="0" r="21590" b="1968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3794A" w:rsidRPr="00EE774A" w:rsidRDefault="00B3794A" w:rsidP="00B3794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4E4685" w:rsidRDefault="00B3794A" w:rsidP="00B3794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201</w:t>
      </w:r>
      <w:r w:rsidR="008479F7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DB20B4">
        <w:rPr>
          <w:rFonts w:ascii="宋体" w:hAnsi="宋体" w:hint="eastAsia"/>
          <w:color w:val="000000"/>
          <w:sz w:val="28"/>
          <w:szCs w:val="28"/>
        </w:rPr>
        <w:t>1</w:t>
      </w:r>
      <w:r w:rsidR="00EA6E61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EA6E61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4E4685" w:rsidRDefault="004E468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4E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3B" w:rsidRDefault="00F66C3B" w:rsidP="00B3794A">
      <w:r>
        <w:separator/>
      </w:r>
    </w:p>
  </w:endnote>
  <w:endnote w:type="continuationSeparator" w:id="0">
    <w:p w:rsidR="00F66C3B" w:rsidRDefault="00F66C3B" w:rsidP="00B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3B" w:rsidRDefault="00F66C3B" w:rsidP="00B3794A">
      <w:r>
        <w:separator/>
      </w:r>
    </w:p>
  </w:footnote>
  <w:footnote w:type="continuationSeparator" w:id="0">
    <w:p w:rsidR="00F66C3B" w:rsidRDefault="00F66C3B" w:rsidP="00B3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9"/>
    <w:rsid w:val="00035643"/>
    <w:rsid w:val="00075649"/>
    <w:rsid w:val="000A72DD"/>
    <w:rsid w:val="000A7F12"/>
    <w:rsid w:val="000F0F2A"/>
    <w:rsid w:val="001037C8"/>
    <w:rsid w:val="00135425"/>
    <w:rsid w:val="00153C80"/>
    <w:rsid w:val="00155AED"/>
    <w:rsid w:val="00184E30"/>
    <w:rsid w:val="001D0940"/>
    <w:rsid w:val="001D3E87"/>
    <w:rsid w:val="002041E9"/>
    <w:rsid w:val="00221DF8"/>
    <w:rsid w:val="00226A2F"/>
    <w:rsid w:val="00236506"/>
    <w:rsid w:val="002612F5"/>
    <w:rsid w:val="0029338E"/>
    <w:rsid w:val="00297125"/>
    <w:rsid w:val="002D1EA2"/>
    <w:rsid w:val="003A4A35"/>
    <w:rsid w:val="003A6B43"/>
    <w:rsid w:val="003B3168"/>
    <w:rsid w:val="003B3EC9"/>
    <w:rsid w:val="003D40F3"/>
    <w:rsid w:val="00412D9E"/>
    <w:rsid w:val="00446B9A"/>
    <w:rsid w:val="00452BD7"/>
    <w:rsid w:val="004B1F20"/>
    <w:rsid w:val="004D5DF1"/>
    <w:rsid w:val="004E16D2"/>
    <w:rsid w:val="004E4685"/>
    <w:rsid w:val="004F3FDF"/>
    <w:rsid w:val="004F4594"/>
    <w:rsid w:val="00507509"/>
    <w:rsid w:val="00510BCF"/>
    <w:rsid w:val="005455E2"/>
    <w:rsid w:val="00547F2E"/>
    <w:rsid w:val="005552C3"/>
    <w:rsid w:val="00555E15"/>
    <w:rsid w:val="005E7297"/>
    <w:rsid w:val="00644903"/>
    <w:rsid w:val="006551A3"/>
    <w:rsid w:val="00664B97"/>
    <w:rsid w:val="00667645"/>
    <w:rsid w:val="0067036F"/>
    <w:rsid w:val="0068395D"/>
    <w:rsid w:val="006A71B5"/>
    <w:rsid w:val="006B768C"/>
    <w:rsid w:val="006D3A34"/>
    <w:rsid w:val="006F20D6"/>
    <w:rsid w:val="007166F6"/>
    <w:rsid w:val="007265AF"/>
    <w:rsid w:val="00757614"/>
    <w:rsid w:val="00780945"/>
    <w:rsid w:val="007857D5"/>
    <w:rsid w:val="007A2D3D"/>
    <w:rsid w:val="007C2906"/>
    <w:rsid w:val="007E684E"/>
    <w:rsid w:val="007F6584"/>
    <w:rsid w:val="008479F7"/>
    <w:rsid w:val="008A3C14"/>
    <w:rsid w:val="008A4832"/>
    <w:rsid w:val="008A653C"/>
    <w:rsid w:val="008F7B28"/>
    <w:rsid w:val="00960371"/>
    <w:rsid w:val="00975815"/>
    <w:rsid w:val="009A6AFC"/>
    <w:rsid w:val="009F0B24"/>
    <w:rsid w:val="009F5B8A"/>
    <w:rsid w:val="00A0421D"/>
    <w:rsid w:val="00A04F51"/>
    <w:rsid w:val="00A06665"/>
    <w:rsid w:val="00A17003"/>
    <w:rsid w:val="00A250D8"/>
    <w:rsid w:val="00A669F5"/>
    <w:rsid w:val="00A66F45"/>
    <w:rsid w:val="00AA37F7"/>
    <w:rsid w:val="00AF065A"/>
    <w:rsid w:val="00AF6383"/>
    <w:rsid w:val="00B06261"/>
    <w:rsid w:val="00B3794A"/>
    <w:rsid w:val="00BD69AF"/>
    <w:rsid w:val="00C37D87"/>
    <w:rsid w:val="00C421B3"/>
    <w:rsid w:val="00C44414"/>
    <w:rsid w:val="00C57436"/>
    <w:rsid w:val="00C94B6D"/>
    <w:rsid w:val="00CD4E5D"/>
    <w:rsid w:val="00D22DFE"/>
    <w:rsid w:val="00D7685D"/>
    <w:rsid w:val="00DA3AC0"/>
    <w:rsid w:val="00DB20B4"/>
    <w:rsid w:val="00DD28C6"/>
    <w:rsid w:val="00DD3291"/>
    <w:rsid w:val="00DF0291"/>
    <w:rsid w:val="00DF203A"/>
    <w:rsid w:val="00E5724C"/>
    <w:rsid w:val="00E8154C"/>
    <w:rsid w:val="00EA6E61"/>
    <w:rsid w:val="00EE46F9"/>
    <w:rsid w:val="00F16BE8"/>
    <w:rsid w:val="00F510C3"/>
    <w:rsid w:val="00F601FE"/>
    <w:rsid w:val="00F66C3B"/>
    <w:rsid w:val="00F708A2"/>
    <w:rsid w:val="00F82049"/>
    <w:rsid w:val="00FB6106"/>
    <w:rsid w:val="00FC0044"/>
    <w:rsid w:val="00FE08CC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604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5668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387626177231453E-2"/>
          <c:y val="4.9315480902241582E-2"/>
          <c:w val="0.64143870576399575"/>
          <c:h val="0.842039724168001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'2018年10月'!$A$288:$A$289</c:f>
              <c:strCache>
                <c:ptCount val="2"/>
                <c:pt idx="0">
                  <c:v>融资类</c:v>
                </c:pt>
                <c:pt idx="1">
                  <c:v>现金及债券类</c:v>
                </c:pt>
              </c:strCache>
            </c:strRef>
          </c:cat>
          <c:val>
            <c:numRef>
              <c:f>'2018年10月'!$B$288:$B$289</c:f>
              <c:numCache>
                <c:formatCode>0.00%</c:formatCode>
                <c:ptCount val="2"/>
                <c:pt idx="0">
                  <c:v>0.68484662629733284</c:v>
                </c:pt>
                <c:pt idx="1">
                  <c:v>0.31515337370266727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'2018年10月'!$A$296:$A$299</c:f>
              <c:strCache>
                <c:ptCount val="4"/>
                <c:pt idx="0">
                  <c:v>A</c:v>
                </c:pt>
                <c:pt idx="1">
                  <c:v>AA</c:v>
                </c:pt>
                <c:pt idx="2">
                  <c:v>AA-</c:v>
                </c:pt>
                <c:pt idx="3">
                  <c:v>AAA</c:v>
                </c:pt>
              </c:strCache>
            </c:strRef>
          </c:cat>
          <c:val>
            <c:numRef>
              <c:f>'2018年10月'!$B$296:$B$299</c:f>
              <c:numCache>
                <c:formatCode>0.00%</c:formatCode>
                <c:ptCount val="4"/>
                <c:pt idx="0">
                  <c:v>1.3437169608926557E-2</c:v>
                </c:pt>
                <c:pt idx="1">
                  <c:v>0.32450764605557636</c:v>
                </c:pt>
                <c:pt idx="2">
                  <c:v>0.42551037094934097</c:v>
                </c:pt>
                <c:pt idx="3">
                  <c:v>0.23654481338615613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2093175853018373E-2"/>
          <c:y val="1.2031655842006743E-2"/>
          <c:w val="0.93884936257967755"/>
          <c:h val="0.832942863449866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'2018年10月'!$B$303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'2018年10月'!$A$304:$A$307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'2018年10月'!$B$304:$B$307</c:f>
              <c:numCache>
                <c:formatCode>0.00%</c:formatCode>
                <c:ptCount val="4"/>
                <c:pt idx="0">
                  <c:v>0.14034377147101071</c:v>
                </c:pt>
                <c:pt idx="1">
                  <c:v>0.12690660186208413</c:v>
                </c:pt>
                <c:pt idx="2">
                  <c:v>0.14930188454362842</c:v>
                </c:pt>
                <c:pt idx="3">
                  <c:v>0.58344774212327677</c:v>
                </c:pt>
              </c:numCache>
            </c:numRef>
          </c:val>
        </c:ser>
        <c:ser>
          <c:idx val="1"/>
          <c:order val="1"/>
          <c:tx>
            <c:strRef>
              <c:f>'2018年10月'!$C$303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'2018年10月'!$A$304:$A$307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'2018年10月'!$C$304:$C$307</c:f>
              <c:numCache>
                <c:formatCode>0.00%</c:formatCode>
                <c:ptCount val="4"/>
                <c:pt idx="0">
                  <c:v>0.22691145408874366</c:v>
                </c:pt>
                <c:pt idx="1">
                  <c:v>0.11412706270735629</c:v>
                </c:pt>
                <c:pt idx="2">
                  <c:v>0.13426713259688974</c:v>
                </c:pt>
                <c:pt idx="3">
                  <c:v>0.52469435060701031</c:v>
                </c:pt>
              </c:numCache>
            </c:numRef>
          </c:val>
        </c:ser>
        <c:ser>
          <c:idx val="2"/>
          <c:order val="2"/>
          <c:tx>
            <c:strRef>
              <c:f>'2018年10月'!$D$303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'2018年10月'!$A$304:$A$307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'2018年10月'!$D$304:$D$307</c:f>
              <c:numCache>
                <c:formatCode>0.00%</c:formatCode>
                <c:ptCount val="4"/>
                <c:pt idx="0">
                  <c:v>-8.6567682617732955E-2</c:v>
                </c:pt>
                <c:pt idx="1">
                  <c:v>1.2779539154727848E-2</c:v>
                </c:pt>
                <c:pt idx="2">
                  <c:v>1.5034751946738673E-2</c:v>
                </c:pt>
                <c:pt idx="3">
                  <c:v>5.8753391516266462E-2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725568"/>
        <c:axId val="67739648"/>
      </c:barChart>
      <c:catAx>
        <c:axId val="67725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67739648"/>
        <c:crosses val="autoZero"/>
        <c:auto val="1"/>
        <c:lblAlgn val="ctr"/>
        <c:lblOffset val="100"/>
        <c:noMultiLvlLbl val="0"/>
      </c:catAx>
      <c:valAx>
        <c:axId val="6773964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67725568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2186820397450322"/>
          <c:y val="0.40566929133858265"/>
          <c:w val="0.16903152730908633"/>
          <c:h val="0.2513798969573247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2</cp:revision>
  <dcterms:created xsi:type="dcterms:W3CDTF">2018-11-02T09:49:00Z</dcterms:created>
  <dcterms:modified xsi:type="dcterms:W3CDTF">2018-11-02T09:49:00Z</dcterms:modified>
</cp:coreProperties>
</file>